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eastAsiaTheme="minorHAnsi"/>
          <w:sz w:val="22"/>
        </w:rPr>
      </w:pPr>
      <w:r>
        <w:rPr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</w:t>
      </w:r>
      <w:r>
        <w:rPr>
          <w:rFonts w:eastAsiaTheme="minorHAnsi"/>
          <w:b/>
          <w:sz w:val="22"/>
        </w:rPr>
        <w:t xml:space="preserve">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64"/>
        <w:gridCol w:w="2542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KATOLIČKA OSNOVNA ŠKOLA </w:t>
            </w:r>
            <w:r>
              <w:rPr>
                <w:rFonts w:ascii="Times New Roman" w:hAnsi="Times New Roman" w:cs="Times New Roman"/>
                <w:b/>
              </w:rPr>
              <w:t xml:space="preserve">“</w:t>
            </w:r>
            <w:r>
              <w:rPr>
                <w:rFonts w:ascii="Times New Roman" w:hAnsi="Times New Roman" w:cs="Times New Roman"/>
                <w:b/>
              </w:rPr>
              <w:t xml:space="preserve">IVO MAŠINA</w:t>
            </w:r>
            <w:r>
              <w:rPr>
                <w:rFonts w:ascii="Times New Roman" w:hAnsi="Times New Roman" w:cs="Times New Roman"/>
                <w:b/>
              </w:rPr>
              <w:t xml:space="preserve">”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Ulica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Franje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Fanceva</w:t>
            </w:r>
            <w:r>
              <w:rPr>
                <w:rFonts w:ascii="Times New Roman" w:hAnsi="Times New Roman" w:cs="Times New Roman"/>
              </w:rPr>
              <w:t xml:space="preserve"> 38, 23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000 Zadar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URBROJ: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2198-1-48-01-25-29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Zadar, 0</w:t>
            </w: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t</w:t>
            </w:r>
            <w:r>
              <w:rPr>
                <w:rFonts w:ascii="Times New Roman" w:hAnsi="Times New Roman" w:cs="Times New Roman"/>
              </w:rPr>
              <w:t xml:space="preserve">ravnja</w:t>
            </w:r>
            <w:r>
              <w:rPr>
                <w:rFonts w:ascii="Times New Roman" w:hAnsi="Times New Roman" w:cs="Times New Roman"/>
              </w:rPr>
              <w:t xml:space="preserve"> 2025. </w:t>
            </w:r>
            <w:r>
              <w:rPr>
                <w:rFonts w:ascii="Times New Roman" w:hAnsi="Times New Roman" w:cs="Times New Roman"/>
              </w:rPr>
              <w:t xml:space="preserve">godine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sz w:val="24"/>
          <w:lang w:val="hr-HR"/>
        </w:rPr>
      </w:pPr>
    </w:p>
    <w:p>
      <w:pPr>
        <w:spacing/>
        <w:ind w:firstLine="720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Sukladno članku 11. Pravilnika o načinu i postupku zapošljavanja, a u svezi sa natječajem za radno mjesto tajnik/</w:t>
      </w:r>
      <w:r>
        <w:rPr>
          <w:sz w:val="24"/>
          <w:lang w:val="hr-HR"/>
        </w:rPr>
        <w:t xml:space="preserve">ca</w:t>
      </w:r>
      <w:r>
        <w:rPr>
          <w:sz w:val="24"/>
          <w:lang w:val="hr-HR"/>
        </w:rPr>
        <w:t xml:space="preserve"> školske ustanove, jedan izvršitelj/</w:t>
      </w:r>
      <w:r>
        <w:rPr>
          <w:sz w:val="24"/>
          <w:lang w:val="hr-HR"/>
        </w:rPr>
        <w:t xml:space="preserve">ica</w:t>
      </w:r>
      <w:r>
        <w:rPr>
          <w:sz w:val="24"/>
          <w:lang w:val="hr-HR"/>
        </w:rPr>
        <w:t xml:space="preserve"> na neodređeno puno radno vrijeme od 40 (četrdeset) sati tjedno uz probni rad od tri mjeseca objavljenog dana 20. ožujka 2025. godine</w:t>
      </w:r>
      <w:r>
        <w:rPr>
          <w:sz w:val="24"/>
          <w:lang w:val="hr-HR"/>
        </w:rPr>
        <w:t xml:space="preserve"> </w:t>
      </w:r>
      <w:r>
        <w:rPr>
          <w:sz w:val="24"/>
          <w:szCs w:val="24"/>
        </w:rPr>
        <w:t xml:space="preserve">na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mrežn</w:t>
      </w:r>
      <w:r>
        <w:rPr>
          <w:color w:val="000000"/>
          <w:sz w:val="24"/>
          <w:szCs w:val="24"/>
        </w:rPr>
        <w:t xml:space="preserve">oj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stranic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oglasn</w:t>
      </w:r>
      <w:r>
        <w:rPr>
          <w:bCs/>
          <w:color w:val="000000"/>
          <w:sz w:val="24"/>
          <w:szCs w:val="24"/>
        </w:rPr>
        <w:t xml:space="preserve">oj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ploč</w:t>
      </w:r>
      <w:r>
        <w:rPr>
          <w:bCs/>
          <w:color w:val="000000"/>
          <w:sz w:val="24"/>
          <w:szCs w:val="24"/>
        </w:rPr>
        <w:t xml:space="preserve">i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Hrvatskog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zavoda</w:t>
      </w:r>
      <w:r>
        <w:rPr>
          <w:bCs/>
          <w:color w:val="000000"/>
          <w:sz w:val="24"/>
          <w:szCs w:val="24"/>
        </w:rPr>
        <w:t xml:space="preserve"> za </w:t>
      </w:r>
      <w:r>
        <w:rPr>
          <w:bCs/>
          <w:color w:val="000000"/>
          <w:sz w:val="24"/>
          <w:szCs w:val="24"/>
        </w:rPr>
        <w:t xml:space="preserve">zapošljavanje</w:t>
      </w:r>
      <w:r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te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mrežn</w:t>
      </w:r>
      <w:r>
        <w:rPr>
          <w:bCs/>
          <w:color w:val="000000"/>
          <w:sz w:val="24"/>
          <w:szCs w:val="24"/>
        </w:rPr>
        <w:t xml:space="preserve">oj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stranic</w:t>
      </w:r>
      <w:r>
        <w:rPr>
          <w:bCs/>
          <w:sz w:val="24"/>
          <w:szCs w:val="24"/>
        </w:rPr>
        <w:t xml:space="preserve">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oglasnoj</w:t>
      </w:r>
      <w:r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ploči</w:t>
      </w:r>
      <w:r>
        <w:rPr>
          <w:bCs/>
          <w:i/>
          <w:color w:val="00B0F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Katoličke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osnovne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ško</w:t>
      </w:r>
      <w:r>
        <w:rPr>
          <w:bCs/>
          <w:sz w:val="24"/>
          <w:szCs w:val="24"/>
        </w:rPr>
        <w:t xml:space="preserve">le</w:t>
      </w:r>
      <w:r>
        <w:rPr>
          <w:bCs/>
          <w:sz w:val="24"/>
          <w:szCs w:val="24"/>
        </w:rPr>
        <w:t xml:space="preserve"> “Ivo </w:t>
      </w:r>
      <w:r>
        <w:rPr>
          <w:bCs/>
          <w:sz w:val="24"/>
          <w:szCs w:val="24"/>
        </w:rPr>
        <w:t xml:space="preserve">Mašina</w:t>
      </w:r>
      <w:r>
        <w:rPr>
          <w:bCs/>
          <w:sz w:val="24"/>
          <w:szCs w:val="24"/>
        </w:rPr>
        <w:t xml:space="preserve">”</w:t>
      </w:r>
      <w:r>
        <w:rPr>
          <w:sz w:val="24"/>
          <w:szCs w:val="24"/>
          <w:lang w:val="hr-HR"/>
        </w:rPr>
        <w:t xml:space="preserve">,</w:t>
      </w:r>
      <w:r>
        <w:rPr>
          <w:sz w:val="24"/>
          <w:lang w:val="hr-HR"/>
        </w:rPr>
        <w:t xml:space="preserve"> Povjerenstvo za procjenu i vrednovanje kandidata (u daljnjem tekstu: Povjerenstvo) upućuje </w:t>
      </w:r>
    </w:p>
    <w:p>
      <w:pPr>
        <w:spacing/>
        <w:ind w:firstLine="720"/>
        <w:jc w:val="both"/>
        <w:rPr>
          <w:b/>
          <w:sz w:val="24"/>
          <w:lang w:val="hr-HR"/>
        </w:rPr>
      </w:pPr>
    </w:p>
    <w:p>
      <w:pPr>
        <w:spacing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POZIV NA RAZGOVOR (INTERVJU)</w:t>
      </w:r>
    </w:p>
    <w:p>
      <w:pPr>
        <w:spacing/>
        <w:jc w:val="center"/>
        <w:rPr>
          <w:b/>
          <w:sz w:val="28"/>
          <w:szCs w:val="28"/>
          <w:lang w:val="hr-HR"/>
        </w:rPr>
      </w:pPr>
    </w:p>
    <w:p>
      <w:pPr>
        <w:pStyle w:val="Tijeloteksta"/>
        <w:spacing/>
        <w:ind w:firstLine="720"/>
        <w:jc w:val="both"/>
        <w:rPr/>
      </w:pPr>
      <w:r>
        <w:rPr/>
        <w:t xml:space="preserve">Razgovor (intervju) kandidata sa Povjerenstvom održati će se </w:t>
      </w:r>
      <w:r>
        <w:rPr/>
        <w:t xml:space="preserve">u ponedjeljak, 07. </w:t>
      </w:r>
      <w:r>
        <w:rPr/>
        <w:t xml:space="preserve">travnja 2025. godine u Katoličkoj osnovnoj školi ''Ivo Mašina'', Ulica Franje </w:t>
      </w:r>
      <w:r>
        <w:rPr/>
        <w:t xml:space="preserve">Fanceva</w:t>
      </w:r>
      <w:r>
        <w:rPr/>
        <w:t xml:space="preserve"> 38, 23 000 Zadar s početkom u </w:t>
      </w:r>
      <w:r>
        <w:rPr/>
        <w:t xml:space="preserve">09,00</w:t>
      </w:r>
      <w:r>
        <w:rPr/>
        <w:t xml:space="preserve"> sati.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 razgovor (intervju) pozivaju se kandidati koji u cijelosti ispunjavaju uvjete natječaja i čije su prijave pravodobne i potpune i to kako slijedi:</w:t>
      </w:r>
    </w:p>
    <w:p>
      <w:pPr>
        <w:pStyle w:val="Tijeloteksta"/>
        <w:spacing/>
        <w:jc w:val="both"/>
        <w:rPr>
          <w:b w:val="0"/>
        </w:rPr>
      </w:pPr>
    </w:p>
    <w:tbl>
      <w:tblPr>
        <w:tblStyle w:val="Reetkatablice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Redni broj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Inicijali kandidata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T. Č.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J. P.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3.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</w:t>
            </w:r>
            <w:r>
              <w:rPr>
                <w:rFonts w:ascii="Times New Roman" w:hAnsi="Times New Roman" w:cs="Times New Roman"/>
                <w:b w:val="0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</w:rPr>
              <w:t xml:space="preserve">M. Z.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4.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K. J.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5.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V. R.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6.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A. E.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7.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D.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8.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S. O.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9.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B. F.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10. 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B.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11. 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S. M.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12.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E.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13.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V.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14.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A. Č.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15.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V.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16.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A. C.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17.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J. Ž.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18.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I. J.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19.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M. Z.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20.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N. J.</w:t>
            </w:r>
          </w:p>
        </w:tc>
      </w:tr>
      <w:tr>
        <w:trPr/>
        <w:tc>
          <w:tcPr>
            <w:tcW w:type="dxa" w:w="1413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21.</w:t>
            </w:r>
          </w:p>
        </w:tc>
        <w:tc>
          <w:tcPr>
            <w:tcW w:type="dxa" w:w="2268"/>
            <w:tcBorders/>
          </w:tcPr>
          <w:p>
            <w:pPr>
              <w:pStyle w:val="Tijeloteksta"/>
              <w:spacing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K. R.</w:t>
            </w:r>
          </w:p>
        </w:tc>
      </w:tr>
    </w:tbl>
    <w:p>
      <w:pPr>
        <w:pStyle w:val="Tijeloteksta"/>
        <w:spacing/>
        <w:jc w:val="both"/>
        <w:rPr/>
      </w:pP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 razgovoru (intervjuu) kandidat je dužan predočiti osobnu iskaznicu ili drugu odgovarajuću identifikacijsku ispravu sa fotografijom zbog utvrđivanja identiteta.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Kandidat koji ne može dokazati identitet i kandidat koji ne pristupi razgovoru (intervjuu) s Povjerenstvom u naznačenom vremenu ili pristupi nakon vremena određenog za razgovor, bez obzira na razloge, ne smatra se kandidatom natječaja.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Povjerenstvo u razgovoru s kandidatima utvrđuje </w:t>
      </w:r>
      <w:r>
        <w:rPr>
          <w:b w:val="0"/>
        </w:rPr>
        <w:t xml:space="preserve">znanja, sposobnosti i vještine, interese, profesionalne ciljeve i motivaciju kandidata za rad u Školi, te rezultate ostvarene u njihovu dosadašnjem radu.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Smatra se da je kandidat na razgovoru (intervjuu) zadovoljio ako je ostvario najmanje pet od ukupnih deset bodova.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Nakon provedenog razgovora (intervjua), Povjerenstvo utvrđuje rang listu kandidata prema ukupnom broju bodova ostvarenih na razgovoru (intervjuu).</w:t>
      </w:r>
    </w:p>
    <w:p>
      <w:pPr>
        <w:pStyle w:val="Tijeloteksta"/>
        <w:spacing/>
        <w:ind w:firstLine="720"/>
        <w:jc w:val="both"/>
        <w:rPr>
          <w:b w:val="0"/>
        </w:rPr>
      </w:pPr>
      <w:r>
        <w:rPr>
          <w:b w:val="0"/>
        </w:rPr>
        <w:t xml:space="preserve">Poziv na razgovoru objavljen je dana 0</w:t>
      </w:r>
      <w:r>
        <w:rPr>
          <w:b w:val="0"/>
        </w:rPr>
        <w:t xml:space="preserve">2</w:t>
      </w:r>
      <w:bookmarkStart w:id="3" w:name="_GoBack"/>
      <w:bookmarkEnd w:id="3"/>
      <w:r>
        <w:rPr>
          <w:b w:val="0"/>
        </w:rPr>
        <w:t xml:space="preserve">. travnja 2025. godine na mrežnoj stranici Katoličke osnovne škole ''Ivo Mašina''. </w:t>
      </w:r>
    </w:p>
    <w:p>
      <w:pPr>
        <w:pStyle w:val="Tijeloteksta"/>
        <w:spacing/>
        <w:jc w:val="both"/>
        <w:rPr>
          <w:b w:val="0"/>
        </w:rPr>
      </w:pPr>
    </w:p>
    <w:p>
      <w:pPr>
        <w:pStyle w:val="Tijeloteksta"/>
        <w:spacing/>
        <w:jc w:val="both"/>
        <w:rPr>
          <w:b w:val="0"/>
        </w:rPr>
      </w:pPr>
      <w:r>
        <w:rPr>
          <w:b w:val="0"/>
        </w:rPr>
        <w:t xml:space="preserve"> </w:t>
      </w:r>
    </w:p>
    <w:p>
      <w:pPr>
        <w:pStyle w:val="Tijeloteksta"/>
        <w:spacing/>
        <w:jc w:val="both"/>
        <w:rPr/>
      </w:pPr>
      <w:r>
        <w:rPr/>
        <w:t xml:space="preserve">                                                                                            </w:t>
      </w:r>
    </w:p>
    <w:p>
      <w:pPr>
        <w:pStyle w:val="Tijeloteksta"/>
        <w:spacing/>
        <w:jc w:val="both"/>
        <w:rPr>
          <w:b w:val="0"/>
        </w:rPr>
      </w:pPr>
      <w:r>
        <w:rPr/>
        <w:t xml:space="preserve">                                                                                         </w:t>
      </w:r>
      <w:r>
        <w:rPr/>
        <w:t xml:space="preserve">  </w:t>
      </w:r>
      <w:r>
        <w:rPr>
          <w:b w:val="0"/>
        </w:rPr>
        <w:t xml:space="preserve">Povjerenstvo </w:t>
      </w:r>
    </w:p>
    <w:p>
      <w:pPr>
        <w:pStyle w:val="Tijeloteksta"/>
        <w:spacing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za procjenu i vrednovanje kandidata</w:t>
      </w:r>
    </w:p>
    <w:p>
      <w:pPr>
        <w:pStyle w:val="Tijeloteksta"/>
        <w:spacing/>
        <w:jc w:val="both"/>
        <w:rPr/>
      </w:pPr>
      <w:r>
        <w:rPr/>
        <w:t xml:space="preserve">                                                                </w:t>
      </w: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pStyle w:val="Tijeloteksta"/>
        <w:spacing/>
        <w:jc w:val="both"/>
        <w:rPr/>
      </w:pPr>
    </w:p>
    <w:p>
      <w:pPr>
        <w:spacing/>
        <w:jc w:val="both"/>
        <w:rPr>
          <w:b/>
          <w:sz w:val="24"/>
          <w:lang w:val="hr-HR"/>
        </w:rPr>
      </w:pPr>
    </w:p>
    <w:p>
      <w:pPr>
        <w:spacing/>
        <w:jc w:val="both"/>
        <w:rPr>
          <w:b/>
          <w:sz w:val="24"/>
          <w:lang w:val="hr-HR"/>
        </w:rPr>
      </w:pPr>
    </w:p>
    <w:p>
      <w:pPr>
        <w:spacing/>
        <w:ind w:left="1440"/>
        <w:jc w:val="both"/>
        <w:rPr>
          <w:b/>
          <w:sz w:val="24"/>
          <w:lang w:val="hr-HR"/>
        </w:rPr>
      </w:pPr>
    </w:p>
    <w:sectPr>
      <w:type w:val="nextPage"/>
      <w:pgSz w:w="11906" w:h="16838"/>
      <w:pgMar w:top="1440" w:right="1800" w:bottom="1440" w:left="180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6AF"/>
    <w:lvl w:ilvl="0">
      <w:start w:val="1"/>
      <w:numFmt w:val="decimal"/>
      <w:suff w:val="tab"/>
      <w:lvlText w:val="%1."/>
      <w:pPr>
        <w:tabs>
          <w:tab w:val="num" w:pos="1800"/>
        </w:tabs>
        <w:spacing/>
        <w:ind w:left="180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37D10AB3"/>
    <w:lvl w:ilvl="0">
      <w:start w:val="2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526F3694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6FEB4E9E"/>
    <w:lvl w:ilvl="0">
      <w:start w:val="1"/>
      <w:numFmt w:val="decimal"/>
      <w:suff w:val="tab"/>
      <w:lvlText w:val="%1"/>
      <w:pPr>
        <w:tabs>
          <w:tab w:val="num" w:pos="360"/>
        </w:tabs>
        <w:spacing/>
        <w:ind w:left="360" w:hanging="360"/>
      </w:pPr>
      <w:rPr>
        <w:rFonts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spacing/>
      <w:outlineLvl w:val="0"/>
    </w:pPr>
    <w:rPr>
      <w:b/>
      <w:sz w:val="24"/>
      <w:lang w:val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/>
    </w:pPr>
    <w:rPr>
      <w:b/>
      <w:sz w:val="24"/>
      <w:lang w:val="hr-HR"/>
    </w:rPr>
  </w:style>
  <w:style w:type="paragraph" w:styleId="Tekstbalonia">
    <w:name w:val="Balloon Text"/>
    <w:basedOn w:val="Normal"/>
    <w:link w:val="TekstbalončićaChar"/>
    <w:pPr>
      <w:spacing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rPr>
      <w:rFonts w:ascii="Tahoma" w:hAnsi="Tahoma" w:cs="Tahoma"/>
      <w:sz w:val="16"/>
      <w:szCs w:val="16"/>
      <w:lang w:val="en-AU" w:eastAsia="en-US"/>
    </w:rPr>
  </w:style>
  <w:style w:type="table" w:styleId="Reetkatablice">
    <w:name w:val="Table Grid"/>
    <w:basedOn w:val="Obinatablica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2</Pages>
  <Words>565</Words>
  <Characters>3224</Characters>
  <Application>Microsoft Office Word</Application>
  <DocSecurity>0</DocSecurity>
  <Lines>26</Lines>
  <Paragraphs>7</Paragraphs>
  <Company>tt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</dc:title>
  <dc:subject/>
  <dc:creator>tt</dc:creator>
  <cp:keywords/>
  <cp:lastModifiedBy>Korisnik</cp:lastModifiedBy>
  <cp:lastPrinted>2022-09-19T07:48:00Z</cp:lastPrinted>
  <cp:revision>7</cp:revision>
  <dcterms:created xsi:type="dcterms:W3CDTF">2025-04-02T06:04:00Z</dcterms:created>
  <dcterms:modified xsi:type="dcterms:W3CDTF">2025-04-02T10:24:00Z</dcterms:modified>
</cp:coreProperties>
</file>